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GoBack"/>
      <w:bookmarkEnd w:id="0"/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ab/>
        <w:tab/>
        <w:tab/>
        <w:tab/>
        <w:tab/>
      </w:r>
      <w:r>
        <w:rPr/>
        <w:drawing>
          <wp:inline distB="0" distL="0" distR="0" distT="0">
            <wp:extent cx="1143000" cy="10572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</w:rPr>
        <w:tab/>
        <w:tab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jc w:val="center"/>
      </w:pPr>
      <w:r>
        <w:rPr>
          <w:rFonts w:ascii="Monotype Corsiva" w:cs="Monotype Corsiva" w:eastAsia="Monotype Corsiva" w:hAnsi="Monotype Corsiva"/>
          <w:i/>
          <w:iCs/>
          <w:lang w:val="es-AR"/>
        </w:rPr>
        <w:t>UNIVERSIDAD DE BUENOS AIRES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  <w:jc w:val="center"/>
      </w:pPr>
      <w:r>
        <w:rPr>
          <w:rFonts w:ascii="Monotype Corsiva" w:cs="Monotype Corsiva" w:eastAsia="Monotype Corsiva" w:hAnsi="Monotype Corsiva"/>
          <w:i/>
          <w:iCs/>
          <w:lang w:val="es-AR"/>
        </w:rPr>
        <w:t>FACULTAD DE FILOSOFIA Y LETRAS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>DEPARTAMENTO: CIENCIAS DE LA EDUCACIÓN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>ASIGNATURA:  ANÁLISIS SISTEMATICO DE LAS DIFICULTADES DE APRENDIZAJE.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 xml:space="preserve">PROFESOR: VICTOR FELD 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>CUATRIMESTRE: PRIMERO</w:t>
      </w:r>
      <w:r>
        <w:rPr>
          <w:rFonts w:ascii="Monotype Corsiva" w:cs="Monotype Corsiva" w:eastAsia="Monotype Corsiva" w:hAnsi="Monotype Corsiva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>AÑO: 2016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Monotype Corsiva" w:cs="Monotype Corsiva" w:eastAsia="Monotype Corsiva" w:hAnsi="Monotype Corsiva"/>
          <w:i/>
          <w:iCs/>
          <w:u w:val="single"/>
          <w:lang w:val="es-AR"/>
        </w:rPr>
        <w:t>PROGRAMA Nº:  0160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UNIVERSIDAD DE BUENOS AIRES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Facultad de Filosofía y Letras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Carrera de Ciencias de la Educación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Materia: Análisis sistemáticos de la dificultades de aprendizaje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Primer cuatrimestre de 2016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</w:rPr>
        <w:t>Profesor: Feld Victor</w:t>
      </w:r>
    </w:p>
    <w:p>
      <w:pPr>
        <w:pStyle w:val="style0"/>
        <w:spacing w:after="120" w:before="0"/>
        <w:jc w:val="both"/>
      </w:pPr>
      <w:r>
        <w:rPr>
          <w:rFonts w:ascii="Arial" w:cs="Arial" w:hAnsi="Arial"/>
          <w:b/>
          <w:bCs/>
          <w:sz w:val="26"/>
          <w:szCs w:val="26"/>
          <w:u w:val="single"/>
        </w:rPr>
        <w:t>Programa Nº: 0160-</w:t>
      </w:r>
    </w:p>
    <w:p>
      <w:pPr>
        <w:pStyle w:val="style0"/>
        <w:spacing w:after="120" w:before="0"/>
        <w:jc w:val="both"/>
      </w:pPr>
      <w:r>
        <w:rPr>
          <w:sz w:val="26"/>
          <w:szCs w:val="26"/>
        </w:rPr>
      </w:r>
    </w:p>
    <w:p>
      <w:pPr>
        <w:pStyle w:val="style0"/>
        <w:spacing w:after="120" w:before="0"/>
        <w:jc w:val="both"/>
      </w:pPr>
      <w:r>
        <w:rPr>
          <w:sz w:val="26"/>
          <w:szCs w:val="26"/>
        </w:rPr>
      </w:r>
    </w:p>
    <w:p>
      <w:pPr>
        <w:pStyle w:val="style0"/>
        <w:jc w:val="both"/>
      </w:pPr>
      <w:r>
        <w:rPr>
          <w:rFonts w:ascii="Arial" w:cs="Arial" w:eastAsia="Arial" w:hAnsi="Arial"/>
          <w:b/>
          <w:bCs/>
          <w:color w:val="000000"/>
          <w:u w:val="single"/>
        </w:rPr>
        <w:t>FUNDAMENTACIÓN y PROPÓSITOS: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La asignatura se dicta dentro del ciclo focalizado en Psicopedagogía. El diseño se realiza sobre la base de consolidar conocimientos adquiridos en el ciclo general de la carrera, referidos a didáctica, pedagogía, psicología, neurobiología, análisis institucional de la escuela e investigación. El objetivo es producir una síntesis de dichos conocimientos que permitan explicar los procesos de aprendizaje, como así también comprender los fenómenos inherentes a su desorganización y problematización.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Nos proponemos transmitir conocimientos vinculados a factores que perturban el curso de los aprendizajes definiendo una modalidad de pensamiento analítico y diverso, respecto a las causas que determinan dichas disfunciones en los procesos de aprendizaje. Para lo cual se vale de los avances en la comprensión de los actos concernientes a la conciencia, al conocimiento enmarcado en factores sociales e históricos, y a las modalidades de procesamiento de la información.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El punto de partida se refiere al aprendizaje y sus procesos como un objeto de conocimiento complejo.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La problemática se estructura sobre un enfoque y una dinámica  transdisciplinar. A su vez aborda dichas convergencia en el contexto de la comprensión de procesos fisiológicos y fisiopatológicos.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 xml:space="preserve">Se analiza los factores macrocontextuales, estructurales, funcionales, institucionales y áulicos, como espacios generadores de procesos que facilitan u obstaculizan  el aprendizaje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Se plantean aspectos cognitivos complementarios de la didáctica y la pedagogía en el proceso de aprendizaje y sus alteraciones, dentro del proceso pedagógico individual o colectivo. Se visualiza el proceso de aprendizaje dentro del proceso de crecimiento y como facilitador del desarrollo entendiendo que es la cultura la que moldea la vida y la mente humana a través de sus sistemas simbólicos y los patrones de vida sociales mutuamente interdependientes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  <w:u w:val="single"/>
        </w:rPr>
        <w:t>Como equipo de cátedra nos proponemos: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Reflexionar respecto al aprendizaje como facilitador del desarrollo.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Reconocer las base neurofisiológicas del aprendizaje y sus alteraciones.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Analizar el aprendizaje teniendo en cuenta los puntos de encuentros entre la perspectivas neurofisiológica y la histórico-cultural 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Introducir a los alumnos en el conocimiento de las dificultades en el aprendizaje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Promover el conocimiento de la adquisición del lenguaje y sus alteraciones </w:t>
      </w:r>
    </w:p>
    <w:p>
      <w:pPr>
        <w:pStyle w:val="style26"/>
        <w:numPr>
          <w:ilvl w:val="0"/>
          <w:numId w:val="10"/>
        </w:numPr>
        <w:ind w:hanging="0" w:left="0" w:right="0"/>
      </w:pPr>
      <w:r>
        <w:rPr>
          <w:rFonts w:ascii="Arial" w:cs="Arial" w:eastAsia="Arial" w:hAnsi="Arial"/>
          <w:color w:val="000000"/>
        </w:rPr>
        <w:t>Favorecer el conocimiento en los procesos de la lectura, la escritura y el cálculo y sus alteraciones.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UNIDAD 1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¿Que es el aprendizaje? ¿A que denominamos problemas de aprendizaje?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El aprendizaje como proceso complejo. Complementariedad de los marcos teóricos.  Desarrollo del cerebro y la mente en un proceso antropológico y evolutivo. Constitución de sistemas funcionales complejos. Importancia en el proceso pedagógico.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Bibliografía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Ansermet F. y Magistretti (2006): A cada cual su cerebro. Plasticidad neuronal e inconciente. Capítulo 1. Katz editores, Buenos Aires.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>Biscia,M; James,V; Lanza,C (2015) : Ficha de cátedra Las dificultades de aprendizaje (en prensa)</w:t>
      </w:r>
    </w:p>
    <w:p>
      <w:pPr>
        <w:pStyle w:val="style26"/>
        <w:numPr>
          <w:ilvl w:val="0"/>
          <w:numId w:val="9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Blakemore, S., Frith,U. (2007): Cómo aprende el cerebro. Las claves para la educación. Capítulo 1. HUROPE SL. Barcelona.  </w:t>
      </w:r>
    </w:p>
    <w:p>
      <w:pPr>
        <w:pStyle w:val="style26"/>
        <w:numPr>
          <w:ilvl w:val="0"/>
          <w:numId w:val="9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 xml:space="preserve">Eslava-Cobos, J. y otros (2008) Los trastornos del aprendizaje: perspectiva neurofisiológica. Primera Parte, Capítulo 1 y 2. Colección Neurociencia. Editorial Magisterio, Colombia. P. 27- 51. </w:t>
      </w:r>
    </w:p>
    <w:p>
      <w:pPr>
        <w:pStyle w:val="style26"/>
        <w:numPr>
          <w:ilvl w:val="0"/>
          <w:numId w:val="9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Feld, V. y  Rodríguez M. (2004) Neuropsicología Infantil. Capítulo 2: Concepción histórica de la neuropsicología infantil, UNLU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Feld, V. (2010) La neuropsicología en la perspectiva histórico-cultural. Sus nexos con la neurofisiología y la educación en: Revista Novedades Educativas Nº 230, Febrero 2010, Bs. As.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Feld, V. y Eslava Cobo, J (2009): La perspectiva histórico cultural de Vigotsky y la neurofisiología. ¿Hacia dónde va la neuropsicología? Introducción y Capítulo  1. Noveduc – Ensayos y Experiencias. Buenos Aires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</w:rPr>
        <w:t xml:space="preserve">Feld,   V. (2004): Neuropsicología del niño. Capítulo 10: Fundamentos etiológicos del fracaso escolar. Ed. UNLU.  Luján.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Leontiev, A. (1995) El desarrollo del psiquismo. Capítulo: El hombre y la cultura. Ed. Akal Editor  </w:t>
      </w:r>
    </w:p>
    <w:p>
      <w:pPr>
        <w:pStyle w:val="style26"/>
        <w:numPr>
          <w:ilvl w:val="0"/>
          <w:numId w:val="9"/>
        </w:numPr>
        <w:ind w:hanging="0" w:left="0" w:right="0"/>
      </w:pPr>
      <w:r>
        <w:rPr>
          <w:rFonts w:ascii="Arial" w:cs="Arial" w:eastAsia="Arial" w:hAnsi="Arial"/>
          <w:color w:val="000000"/>
        </w:rPr>
        <w:t>Luria, A. (1977) Introducción evolucionista a la psicología, Barcelona, p. 62 a 97.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UNIDAD 2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Fundamentos neurobiológicos neuroanatómicos y funcionales del aprendizaje.</w:t>
      </w:r>
      <w:r>
        <w:rPr>
          <w:rFonts w:ascii="Arial" w:cs="Arial" w:eastAsia="Arial" w:hAnsi="Arial"/>
          <w:b/>
          <w:bCs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 xml:space="preserve">Dispositivos Básicos del Aprendizaje: Atención, memoria, sensopercepción, motivación, habituación.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 xml:space="preserve">La actividad nerviosa superior y la participación de estructuras básicas sobre las que se asienta el proceso de aprendizaje.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Bibliografía: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0" w:left="360" w:right="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26"/>
        <w:numPr>
          <w:ilvl w:val="0"/>
          <w:numId w:val="8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Ansermet F. y Magistretti (2006): A cada cual su cerebro. Plasticidad neuronal e inconsciente. Capítulo 2. Katz Editores. Buenos Aires. </w:t>
      </w:r>
    </w:p>
    <w:p>
      <w:pPr>
        <w:pStyle w:val="style26"/>
        <w:numPr>
          <w:ilvl w:val="0"/>
          <w:numId w:val="8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J.; Derman, B.;  Iglesias; A. (1997) Alteraciones del aprendizaje escolar, Diagnóstico, fisiopatología y tratamiento. Capítulo 2: El proceso del aprendizaje escolar. Editorial Paidós, Bs. As. P. 29-41 </w:t>
      </w:r>
    </w:p>
    <w:p>
      <w:pPr>
        <w:pStyle w:val="style26"/>
        <w:numPr>
          <w:ilvl w:val="0"/>
          <w:numId w:val="8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 (1974) Aprendizaje fisiológico y aprendizaje pedagógico. Capítulo 4: Dispositivos básicos del aprendizaje. Ed. Biblioteca Rosario, Buenos Aires.  </w:t>
      </w:r>
    </w:p>
    <w:p>
      <w:pPr>
        <w:pStyle w:val="style26"/>
        <w:numPr>
          <w:ilvl w:val="0"/>
          <w:numId w:val="8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J.(1974): Aprendizaje fisiológico, aprendizaje pedagógico. Capítulo 5: Nociones acerca de la actividad nerviosa superior. Ed. Biblioteca Rosario, Buenos Aires. p. 87-105 </w:t>
      </w:r>
    </w:p>
    <w:p>
      <w:pPr>
        <w:pStyle w:val="style26"/>
        <w:numPr>
          <w:ilvl w:val="0"/>
          <w:numId w:val="8"/>
        </w:numPr>
        <w:ind w:hanging="0" w:left="0" w:right="0"/>
      </w:pPr>
      <w:r>
        <w:rPr>
          <w:rFonts w:ascii="Arial" w:cs="Arial" w:eastAsia="Arial" w:hAnsi="Arial"/>
          <w:color w:val="000000"/>
        </w:rPr>
        <w:t>Azcoaga J (1997): Las funciones cerebrales superiores y sus alteraciones en el niño y en el adulto Capítulo 3. Editorial Paidós, Buenos Aires.</w:t>
      </w:r>
      <w:r>
        <w:rPr>
          <w:rFonts w:ascii="Arial" w:cs="Arial" w:eastAsia="Arial" w:hAnsi="Arial"/>
          <w:b/>
          <w:bCs/>
          <w:color w:val="000000"/>
        </w:rPr>
        <w:t xml:space="preserve"> 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7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 xml:space="preserve">Benasayag, León (comp) (2007). ADDH. Niños con déficit de atención e hiperactividad. ¡Una patología de mercado? Una mirada alternativa con enfoque multidisciplinario. Capìtulo 1: Deconstrucción neurológica del llamado ADDH. Ed Noveduc, 13-34. Buenos Aires. </w:t>
      </w:r>
    </w:p>
    <w:p>
      <w:pPr>
        <w:pStyle w:val="style26"/>
        <w:numPr>
          <w:ilvl w:val="0"/>
          <w:numId w:val="7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Feld, V. y Maderna, G. (2004)  Intersecciones entre clínica y escuela. La atención y su relación con el aprendizaje. Capítulo: La atención y su relación con el aprendizaje escolar.  Editorial Noveduc. Colección Ensayos y Experiencias, Bs. As. p. 39-56. </w:t>
      </w:r>
    </w:p>
    <w:p>
      <w:pPr>
        <w:pStyle w:val="style26"/>
        <w:numPr>
          <w:ilvl w:val="0"/>
          <w:numId w:val="7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Eslava-Cobos, J. y otros (2008) Los trastornos del aprendizaje: perspectiva neurofisiológica. Primera Parte, Capítulo 3. Colección Neurociencia. Editorial Magisterio, Colombia. Pág. 97 a 114 </w:t>
      </w:r>
    </w:p>
    <w:p>
      <w:pPr>
        <w:pStyle w:val="style26"/>
        <w:numPr>
          <w:ilvl w:val="0"/>
          <w:numId w:val="7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James, V. (2012) La atención en el aula. Conferencia presentada en la Jornada </w:t>
      </w:r>
      <w:r>
        <w:rPr>
          <w:rFonts w:ascii="Arial" w:cs="Arial" w:eastAsia="Arial" w:hAnsi="Arial"/>
          <w:i/>
          <w:iCs/>
          <w:color w:val="000000"/>
        </w:rPr>
        <w:t>Atención en el Aula. Mitos y Leyendas. Aportes de la neuropsicología a la educación</w:t>
      </w:r>
      <w:r>
        <w:rPr>
          <w:rFonts w:ascii="Arial" w:cs="Arial" w:eastAsia="Arial" w:hAnsi="Arial"/>
          <w:color w:val="000000"/>
        </w:rPr>
        <w:t>, FFy L, UBA, el 22 de septiembre de 2012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UNIDAD 3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 xml:space="preserve">La funciones cerebrales superiores. Sistemas funcionales complejos.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Criterios fisiológicos y fisiopatológicos en los problemas de aprendizaje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 xml:space="preserve">Organización y función de praxias, gnosias y lenguaje para el aprendizaje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Bibliografía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>Azcoaga, J. y cols. (1997) Las funciones cerebrales superiores y sus alteraciones en el niño y en el adulto. Capítulo 3: Delimitación del concepto de “función cerebral superior”. Editorial Paidós, Bs. As. P. 54-77.</w:t>
      </w:r>
      <w:r>
        <w:rPr>
          <w:rFonts w:ascii="Arial" w:cs="Arial" w:eastAsia="Arial" w:hAnsi="Arial"/>
          <w:b/>
          <w:bCs/>
          <w:color w:val="000000"/>
        </w:rPr>
        <w:t xml:space="preserve"> </w:t>
      </w:r>
      <w:r>
        <w:rPr>
          <w:rFonts w:ascii="Arial" w:cs="Arial" w:eastAsia="Arial" w:hAnsi="Arial"/>
          <w:color w:val="000000"/>
        </w:rPr>
        <w:t xml:space="preserve">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Eslava-Cobos, J. y otros (2008) Los trastornos del aprendizaje: perspectiva neurofisiológica. Primera Parte, Capítulo 2. Colección Neurociencia. Editorial Magisterio, Colombia. Pág 72 a 79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Feld, V. (2008)  Neuropsicología y Lenguaje en: Lenguas y lenguaje en la educación infantil, Ed. Noveduc, Bs. As. P. 10-22.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Luria A (1979) El cerebro en acción Prólogo y primera parte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Schleh, C. (2008) Lenguaje y Aprendizaje en: Lenguas y lenguaje en la educación infantil. Editorial Noveduc. P. 41-56  </w:t>
      </w:r>
    </w:p>
    <w:p>
      <w:pPr>
        <w:pStyle w:val="style26"/>
        <w:numPr>
          <w:ilvl w:val="0"/>
          <w:numId w:val="6"/>
        </w:numPr>
        <w:ind w:hanging="0" w:left="0" w:right="0"/>
      </w:pPr>
      <w:r>
        <w:rPr>
          <w:rFonts w:ascii="Arial" w:cs="Arial" w:eastAsia="Arial" w:hAnsi="Arial"/>
          <w:color w:val="000000"/>
        </w:rPr>
        <w:t>Vigotsky, L. (1989) El desarrollo de los procesos psicológicos superiores. Capítulo 4: Internalización de las funciones psicológicas superiores. Editorial Crítica. Barcelona. P. 87-94.</w:t>
      </w:r>
    </w:p>
    <w:p>
      <w:pPr>
        <w:pStyle w:val="style0"/>
      </w:pPr>
      <w:r>
        <w:rPr/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UNIDAD 4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color w:val="000000"/>
        </w:rPr>
        <w:t xml:space="preserve">Retardos de lenguaje de distinta categoría que involucran el aprendizaje: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color w:val="000000"/>
        </w:rPr>
        <w:t>afasia, anartria, alexia, dispraxias orofaciales.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Bibliografía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5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 y colaboradores (1997) Las funciones cerebrales superiores y sus alteraciones en el niño y en el adulto. Capítulo 13: Los retardos neurológicos del lenguaje en el niño Editorial Paidós, Bs. As. P. 276-291. </w:t>
      </w:r>
    </w:p>
    <w:p>
      <w:pPr>
        <w:pStyle w:val="style26"/>
        <w:numPr>
          <w:ilvl w:val="0"/>
          <w:numId w:val="5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 y otros (1973)  Alteraciones del lenguaje en el niño. Trastornos del lenguaje infantil de causa auditiva, Ed. Biblioteca, Rosario, p. 51- 58 y p. 61-72. </w:t>
      </w:r>
    </w:p>
    <w:p>
      <w:pPr>
        <w:pStyle w:val="style26"/>
        <w:numPr>
          <w:ilvl w:val="0"/>
          <w:numId w:val="5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Boysson Bardies, B. (2007) ¿Que es el lenguaje? Capítulo II: De los sonidos a las palabras: el recorrido del sentido. Ed. Fondo de Cultura Económica, Buenos Aires, 2007. p.38-13 </w:t>
      </w:r>
    </w:p>
    <w:p>
      <w:pPr>
        <w:pStyle w:val="style26"/>
        <w:numPr>
          <w:ilvl w:val="0"/>
          <w:numId w:val="5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Bruner (1991): Actos de significados, más allá de la revolución cognitiva. Capítulo 3 La entrada en significado. Madrid, Editorial Alianza. </w:t>
      </w:r>
      <w:r>
        <w:rPr>
          <w:rFonts w:ascii="Arial" w:cs="Arial" w:eastAsia="Arial" w:hAnsi="Arial"/>
        </w:rPr>
        <w:t xml:space="preserve">  </w:t>
      </w:r>
    </w:p>
    <w:p>
      <w:pPr>
        <w:pStyle w:val="style26"/>
        <w:numPr>
          <w:ilvl w:val="0"/>
          <w:numId w:val="5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Schnewly,B. (1999): La enseñanza del lenguaje oral y la lectoescritura en la perspectiva sociocultural. En A. Álvarez (Ed) Hacia un Curriculum Cultural, la vigencia de Vygotsky en educación. Colección Infancia y Aprendizaje. Madrid </w:t>
      </w:r>
    </w:p>
    <w:p>
      <w:pPr>
        <w:pStyle w:val="style0"/>
        <w:ind w:hanging="0" w:left="360" w:right="0"/>
      </w:pPr>
      <w:r>
        <w:rPr>
          <w:rFonts w:ascii="Times New Roman" w:cs="Times New Roman" w:eastAsia="Times New Roman" w:hAnsi="Times New Roman"/>
        </w:rPr>
        <w:t xml:space="preserve"> 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UNIDAD 5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</w:rPr>
        <w:t xml:space="preserve">Desarrollo de lectura y escritura: la  organización progresiva  y sus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</w:rPr>
        <w:t xml:space="preserve">dificultades. La relación entre </w:t>
      </w:r>
      <w:r>
        <w:rPr>
          <w:rFonts w:ascii="Arial" w:cs="Arial" w:eastAsia="Arial" w:hAnsi="Arial"/>
          <w:color w:val="000000"/>
        </w:rPr>
        <w:t>la conciencia fonológica y la lectura inicial.</w:t>
      </w:r>
    </w:p>
    <w:p>
      <w:pPr>
        <w:pStyle w:val="style0"/>
        <w:ind w:hanging="360" w:left="360" w:right="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Bibliografía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 (1974) Aprendizaje fisiológico y aprendizaje pedagógico Capítulo 10, Aprendizaje de la lectura, y Capítulo 11: Aprendizaje de la escritura. . Ed. Biblioteca. P.159-164.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J.; Derman, B.;  Iglesias; A. (1997) Alteraciones del aprendizaje escolar, Diagnóstico, fisiopatología y tratamiento. Capítulo 5: Trastornos generales y particulares del aprendizaje. 160-65. Ed. Paidós.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Borzone de Manrique, A. (1999) Conocimientos y estrategias en el aprendizaje inicial del sistema de escritura. Lingüística en el aula. P. 3. 7-9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>Borzone de Manrique, A; Marde,S: Leamos juntos. Programa para la enseñanza y el aprendizaje de la lectura y la escritura. Guía para el docente. Páginas  29 a 5. Editorial Paidós. Buenos Aires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James, V. (2009) Conciencia Fonológica y Lectura. Tesis de Maestría en Psicología Cognitiva y Aprendizaje FLACSO. UAM. Inédito.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Manga, D.;  Fournier, C. (1997) Neuropsicología Clínica Infantil. Estudios de casos en edad escolar.  Capítulo 17: Casos con trastornos de la lectura, del cálculo y de la expresión escrita. Editorial Universitas. P. 409-414.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Molina García, A.; Longares, M. ; Deaño, M.; Puyuelo Sanclemente, O. (1998) El fracaso en el aprendizaje escolar II. Dificultades especificas de tipo neuropsicológico. (Dislexia-disgrafía). Ed. Aljibe.1998, P. 45-53, 101-129, 158-161, 259-264.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Portellano Pérez, J. (1993) Concepto, diagnóstico y tratamiento de los trastornos de la escritura. Capítulo III: Etiología de la disgrafía. Colección Educación Especial, Madrid.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Scheuer,N; de la Cruz, M. y Pozo,J.(2010): Aprender a dibujar y a escribir. La perspectiva de los niños, sus familias y maestros. Capítulo 4. Noveduc. Buenos Aires.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Signorini, A. (1998) La conciencia fonológica y la lectura. Teoría e investigación de una relación compleja. Lectura y Vida. P. 15-22 </w:t>
      </w:r>
    </w:p>
    <w:p>
      <w:pPr>
        <w:pStyle w:val="style26"/>
        <w:numPr>
          <w:ilvl w:val="0"/>
          <w:numId w:val="4"/>
        </w:numPr>
        <w:ind w:hanging="0" w:left="0" w:right="0"/>
      </w:pPr>
      <w:r>
        <w:rPr>
          <w:rFonts w:ascii="Arial" w:cs="Arial" w:eastAsia="Arial" w:hAnsi="Arial"/>
          <w:color w:val="000000"/>
        </w:rPr>
        <w:t>Vellutino,F, Shub, J (2000): Evaluación de los trastornos en el lenguaje escolar formal: alteraciones en la lectura. Revista Lectura y Vida 25 años</w:t>
      </w:r>
      <w:r>
        <w:rPr>
          <w:rFonts w:ascii="Times New Roman" w:cs="Times New Roman" w:eastAsia="Times New Roman" w:hAnsi="Times New Roman"/>
        </w:rPr>
        <w:t xml:space="preserve">      </w:t>
      </w:r>
    </w:p>
    <w:p>
      <w:pPr>
        <w:pStyle w:val="style0"/>
        <w:ind w:hanging="0" w:left="360" w:right="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UNIDAD 6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</w:rPr>
        <w:t xml:space="preserve">Desarrollo y dificultades en la adquisición del número, la resolución de situaciones problemáticas y el uso del cálculo.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</w:rPr>
        <w:t>Bibliografía</w:t>
      </w:r>
      <w:r>
        <w:rPr>
          <w:rFonts w:ascii="Arial" w:cs="Arial" w:eastAsia="Arial" w:hAnsi="Arial"/>
        </w:rPr>
        <w:t xml:space="preserve">  </w:t>
      </w:r>
    </w:p>
    <w:p>
      <w:pPr>
        <w:pStyle w:val="style0"/>
        <w:ind w:hanging="0" w:left="360" w:right="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26"/>
        <w:numPr>
          <w:ilvl w:val="0"/>
          <w:numId w:val="3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Azcoaga, J. (1981): Conceptos prematemáticos, desarrollo normal y anormal. Seminario Internacional sobre disfunción cerebral mínima y problemas de aprendizaje. Cali, Colombia. Centro de Neurología y psicología aplicada APINED (inédito) </w:t>
      </w:r>
    </w:p>
    <w:p>
      <w:pPr>
        <w:pStyle w:val="style26"/>
        <w:numPr>
          <w:ilvl w:val="0"/>
          <w:numId w:val="3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Feld, V. y Rodríguez, M. (2004): Neuropsicología del Niño. Capítulo 12, Un enfoque  neuropsicológico acerca del procesamiento del número en niños en edad escolar. Ed. UNLU. p. 255-275. </w:t>
      </w:r>
    </w:p>
    <w:p>
      <w:pPr>
        <w:pStyle w:val="style26"/>
        <w:numPr>
          <w:ilvl w:val="0"/>
          <w:numId w:val="3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Feld, V. y otros (2006): Test para la evaluación del procesamiento del número y el cálculo. Consideraciones teóricas. Ed. Paidós, Bs. As.  P. 28-45 </w:t>
      </w:r>
    </w:p>
    <w:p>
      <w:pPr>
        <w:pStyle w:val="style26"/>
        <w:numPr>
          <w:ilvl w:val="0"/>
          <w:numId w:val="3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Scheuer,N. , Santamaría,F., Bordoli, C. (2013): Una aproximación al universo numérico de chico que inician su escolaridad primaria, en Matemática en la escuela primaria (1), Broitman Claudia compiladora. Buenos Aires, Editorial Paidós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UNIDAD 7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Crecimiento y desarrollo. Condiciones ambientales socio- culturales que dificultan el aprendizaje. Desnutrición, factores genéticos, prematurez.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Interdependencia relativa del aprendizaje en los factores etiológicos.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 xml:space="preserve">Bibliografía 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2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Segovia, S; Guillamòn, A.: Psicobiología del desarrollo. Capítulo 7: Efectos de la malnutrición en el desarrollo del sistema nervioso Editorial Ariel.  Psicología. 1998. Pág. 151-167 </w:t>
      </w:r>
    </w:p>
    <w:p>
      <w:pPr>
        <w:pStyle w:val="style26"/>
        <w:numPr>
          <w:ilvl w:val="0"/>
          <w:numId w:val="2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Nikodem, María (2009): Niños de alto riesgo. Intervenciones tempranas en el desarrollo y la salud infantil. Capítulos 1 y 2 </w:t>
      </w:r>
    </w:p>
    <w:p>
      <w:pPr>
        <w:pStyle w:val="style26"/>
        <w:numPr>
          <w:ilvl w:val="0"/>
          <w:numId w:val="2"/>
        </w:numPr>
        <w:ind w:hanging="0" w:left="0" w:right="0"/>
      </w:pPr>
      <w:r>
        <w:rPr>
          <w:rFonts w:ascii="Arial" w:cs="Arial" w:eastAsia="Arial" w:hAnsi="Arial"/>
          <w:color w:val="000000"/>
        </w:rPr>
        <w:t xml:space="preserve">UNICEF Informe anual 2010. P. 18-23. </w:t>
      </w:r>
      <w:hyperlink r:id="rId3">
        <w:r>
          <w:rPr>
            <w:rStyle w:val="style16"/>
            <w:rStyle w:val="style16"/>
            <w:rFonts w:ascii="Arial" w:cs="Arial" w:eastAsia="Arial" w:hAnsi="Arial"/>
            <w:color w:val="000000"/>
          </w:rPr>
          <w:t>http://www.unicef.org/argentina/spanish/Informe_Anual_2010.pdf</w:t>
        </w:r>
      </w:hyperlink>
      <w:r>
        <w:rPr>
          <w:rFonts w:ascii="Arial" w:cs="Arial" w:eastAsia="Arial" w:hAnsi="Arial"/>
          <w:color w:val="000000"/>
        </w:rPr>
        <w:t xml:space="preserve"> 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UNIDAD 8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color w:val="000000"/>
        </w:rPr>
        <w:t>Problemas infantiles que dificultan el aprendizaje referidos a factores afectivos y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color w:val="000000"/>
        </w:rPr>
        <w:t xml:space="preserve">emocionales y psíquicos.  La problemática en el aprendizaje vinculada a la 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color w:val="000000"/>
        </w:rPr>
        <w:t>psicología y psicopatología infantil. Psicosis y  neurosis  infantiles , TGD, TEA.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ind w:hanging="360" w:left="360" w:right="0"/>
      </w:pPr>
      <w:r>
        <w:rPr>
          <w:rFonts w:ascii="Arial" w:cs="Arial" w:eastAsia="Arial" w:hAnsi="Arial"/>
          <w:b/>
          <w:bCs/>
          <w:color w:val="000000"/>
        </w:rPr>
        <w:t>Bibliografía</w:t>
      </w:r>
      <w:r>
        <w:rPr>
          <w:rFonts w:ascii="Arial" w:cs="Arial" w:eastAsia="Arial" w:hAnsi="Arial"/>
        </w:rPr>
        <w:t xml:space="preserve"> </w:t>
      </w:r>
    </w:p>
    <w:p>
      <w:pPr>
        <w:pStyle w:val="style26"/>
        <w:numPr>
          <w:ilvl w:val="0"/>
          <w:numId w:val="1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Feld, V. y  Rodriguez, M. (1998) Neuropsicología Infantil. Capítulo 10: Fundamentos etiológicos del fracaso escolar. Ed. UNLU. P.211-228. </w:t>
      </w:r>
    </w:p>
    <w:p>
      <w:pPr>
        <w:pStyle w:val="style26"/>
        <w:numPr>
          <w:ilvl w:val="0"/>
          <w:numId w:val="1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Reca, T. y cols. (1977) Problemas psicopatológicos en pediatría. Capítulos V pág. 61-82; VII: 103-108 y VIII.: 109-121. Ed. Universitaria de Bs. As. </w:t>
      </w:r>
    </w:p>
    <w:p>
      <w:pPr>
        <w:pStyle w:val="style26"/>
        <w:numPr>
          <w:ilvl w:val="0"/>
          <w:numId w:val="1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Frith, U. (1999) Autismo. Capítulo 7. El mundo fragmentado. Ed. Alianza. p. 151-174 </w:t>
      </w:r>
    </w:p>
    <w:p>
      <w:pPr>
        <w:pStyle w:val="style26"/>
        <w:numPr>
          <w:ilvl w:val="0"/>
          <w:numId w:val="1"/>
        </w:numPr>
        <w:ind w:hanging="0" w:left="0" w:right="0"/>
        <w:jc w:val="both"/>
      </w:pPr>
      <w:r>
        <w:rPr>
          <w:rFonts w:ascii="Arial" w:cs="Arial" w:eastAsia="Arial" w:hAnsi="Arial"/>
          <w:color w:val="000000"/>
        </w:rPr>
        <w:t xml:space="preserve">Rivière, A. y Núñez, M. (1996) La mirada mental. Capítulo 1 Teoría de la mente y autismo, Ed. Aique, Bs. As. p. 63- 80. </w:t>
      </w:r>
    </w:p>
    <w:p>
      <w:pPr>
        <w:pStyle w:val="style26"/>
        <w:numPr>
          <w:ilvl w:val="0"/>
          <w:numId w:val="1"/>
        </w:numPr>
        <w:ind w:hanging="0" w:left="0" w:right="0"/>
        <w:jc w:val="both"/>
      </w:pPr>
      <w:r>
        <w:rPr>
          <w:rFonts w:ascii="Arial" w:cs="Arial" w:eastAsia="Arial" w:hAnsi="Arial"/>
        </w:rPr>
        <w:t>Valdez,D; Ruggieri,V. (comp) (2011) Autismo, Del diagnóstico al tratamiento. Capítulos 1,8,9 y 10. Ed. Paidós. CABA</w:t>
      </w:r>
      <w:r>
        <w:rPr/>
        <w:b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ascii="Arial" w:cs="Arial" w:eastAsia="Arial" w:hAnsi="Arial"/>
          <w:b/>
          <w:bCs/>
        </w:rPr>
        <w:t>Evaluación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</w:rPr>
        <w:t xml:space="preserve">2 parciales  </w:t>
      </w:r>
    </w:p>
    <w:p>
      <w:pPr>
        <w:pStyle w:val="style0"/>
      </w:pPr>
      <w:r>
        <w:rPr>
          <w:rFonts w:ascii="Arial" w:cs="Arial" w:eastAsia="Arial" w:hAnsi="Arial"/>
        </w:rPr>
        <w:t xml:space="preserve">1 informe de por lo menos 2 visitas institucionales realizadas durante la cursada  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  <w:u w:val="single"/>
        </w:rPr>
        <w:t>Materias de Promoción Directa.(PD)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  <w:u w:val="single"/>
        </w:rPr>
        <w:t>Son requisitos para la aprobación del curso: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a) Haber asistido al 80% de las clases. La cátedra llevará un registro de asistencia que se archivará.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b) Haber aprobado las dos pruebas escritas que se exigen.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c) Haber obtenido un promedio de aprobado en los interrogatorios y coloquios que el profesor haya llevado a cabo en clases u ocasiones especiales que fijará al efecto.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d) Haber aprobado los trabajos prácticos, monografías, informes, etc que haya fijado cada cátedra.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e) El profesor a cargo del curso realizará durante el período de clases, además de los interrogatorios orales, dos comprobaciones escritas, las cuales, debidamente calificadas, se archivarán en el legajo del alumno.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f) Establecer que el promedio necesario para aprobar el curso en condiciones de promoción directa no deberá ser inferior a siete (7) puntos.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g) En caso de que el promedio sea inferior a siete (7) puntos y con la asistencia de 75% los alumnos mantendrán su condición de regular.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h) Todo alumno que no cumpla con las exigencias establecidas quedara en condición de alumno libre.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b/>
          <w:bCs/>
          <w:color w:val="000000"/>
        </w:rPr>
        <w:t>Materias de Examen Final (EF)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  <w:u w:val="single"/>
        </w:rPr>
        <w:t>Son requisitos para la aprobación del curso: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Para rendir el examen final en calidad de regular se requerirá haber aprobado los Trabajos Prácticos. Dicha aprobación exigirá tener una asistencia mínima al 75% de las clases prácticas y haber obtenido un promedio mínimo de 4 puntos (aprobado) en los exámenes parciales. A tal efecto, la inasistencia a cualquiera de los exámenes parciales será computada como 0 (cero). Quienes no hayan rendido en término un examen parcial por motivos justificados, podrán solicitar su recuperación dentro de los cinco días hábiles siguientes a la realización del mismo, mediante la presentación de una nota en el Departamento de Profesores que justifique la ausencia. La cátedra respectiva fijará el día y hora para la realización del parcial complementario el cual deberá tener lugar en un lapso de no más de doce (12) días.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  <w:color w:val="000000"/>
        </w:rPr>
        <w:t>Los alumnos cuya nota promedio de exámenes parciales no alcance la calificación de aprobado (cuatro puntos), deberán volver a inscribirse en la asignatura o rendir examen de la misma en calidad de libres. Este examen constará de dos partes: una prueba escrita eliminatoria y otra oral. La prueba escrita versará sobre temas del programa teórico y/o práctico y los alumnos podrán disponer de hasta dos horas para su desarrollo. Quienes la aprueben rendirán el examen oral, en el que podrán ser interrogados sobre cualquier punto del programa aprobado y serán calificados con la nota única correspondiente a esta última prueba. Los que no rindan la prueba oral u obtengan en la misma menos de cuatro serán calificados con la nota de insuficiente.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/>
        <w:b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160" w:before="0" w:line="254" w:lineRule="auto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Droid Sans" w:hAnsi="Calibri"/>
      <w:color w:val="00000A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lace de Internet"/>
    <w:basedOn w:val="style15"/>
    <w:next w:val="style16"/>
    <w:rPr>
      <w:color w:val="0563C1"/>
      <w:u w:val="single"/>
      <w:lang w:bidi="es-ES" w:eastAsia="es-ES" w:val="es-ES"/>
    </w:rPr>
  </w:style>
  <w:style w:styleId="style17" w:type="character">
    <w:name w:val="Texto de globo Car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Courier New"/>
    </w:rPr>
  </w:style>
  <w:style w:styleId="style20" w:type="character">
    <w:name w:val="ListLabel 3"/>
    <w:next w:val="style20"/>
    <w:rPr>
      <w:rFonts w:cs="Wingdings"/>
    </w:rPr>
  </w:style>
  <w:style w:styleId="style21" w:type="paragraph">
    <w:name w:val="Encabezado"/>
    <w:basedOn w:val="style0"/>
    <w:next w:val="style22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Cuerpo de texto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FreeSans"/>
    </w:rPr>
  </w:style>
  <w:style w:styleId="style24" w:type="paragraph">
    <w:name w:val="Etiqueta"/>
    <w:basedOn w:val="style0"/>
    <w:next w:val="style24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FreeSans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icef.org/argentina/spanish/Informe_Anual_2010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2015-10-29T15:22:00.00Z</dcterms:created>
  <dc:creator>María</dc:creator>
  <cp:lastModifiedBy>María</cp:lastModifiedBy>
  <cp:lastPrinted>2016-04-21T15:55:08.00Z</cp:lastPrinted>
  <dcterms:modified xsi:type="dcterms:W3CDTF">2015-10-29T15:24:00.00Z</dcterms:modified>
  <cp:revision>3</cp:revision>
</cp:coreProperties>
</file>